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tl w:val="0"/>
        </w:rPr>
        <w:t xml:space="preserve">LUONNOS</w:t>
      </w:r>
    </w:p>
    <w:p w:rsidR="00000000" w:rsidDel="00000000" w:rsidP="00000000" w:rsidRDefault="00000000" w:rsidRPr="00000000" w14:paraId="00000002">
      <w:pPr>
        <w:spacing w:after="0" w:line="276" w:lineRule="auto"/>
        <w:jc w:val="both"/>
        <w:rPr>
          <w:rFonts w:ascii="Work Sans" w:cs="Work Sans" w:eastAsia="Work Sans" w:hAnsi="Work Sans"/>
          <w:color w:val="ff0000"/>
          <w:sz w:val="24"/>
          <w:szCs w:val="24"/>
        </w:rPr>
      </w:pPr>
      <w:r w:rsidDel="00000000" w:rsidR="00000000" w:rsidRPr="00000000">
        <w:rPr>
          <w:rtl w:val="0"/>
        </w:rPr>
      </w:r>
    </w:p>
    <w:p w:rsidR="00000000" w:rsidDel="00000000" w:rsidP="00000000" w:rsidRDefault="00000000" w:rsidRPr="00000000" w14:paraId="00000003">
      <w:pPr>
        <w:spacing w:after="0" w:line="276" w:lineRule="auto"/>
        <w:jc w:val="both"/>
        <w:rPr>
          <w:rFonts w:ascii="Work Sans" w:cs="Work Sans" w:eastAsia="Work Sans" w:hAnsi="Work Sans"/>
          <w:b w:val="1"/>
          <w:sz w:val="28"/>
          <w:szCs w:val="28"/>
        </w:rPr>
      </w:pPr>
      <w:r w:rsidDel="00000000" w:rsidR="00000000" w:rsidRPr="00000000">
        <w:rPr>
          <w:rtl w:val="0"/>
        </w:rPr>
      </w:r>
    </w:p>
    <w:p w:rsidR="00000000" w:rsidDel="00000000" w:rsidP="00000000" w:rsidRDefault="00000000" w:rsidRPr="00000000" w14:paraId="00000004">
      <w:pPr>
        <w:spacing w:after="0"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8"/>
          <w:szCs w:val="28"/>
          <w:rtl w:val="0"/>
        </w:rPr>
        <w:t xml:space="preserve">Yleiset ehdot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highlight w:val="yellow"/>
        </w:rPr>
      </w:pPr>
      <w:r w:rsidDel="00000000" w:rsidR="00000000" w:rsidRPr="00000000">
        <w:rPr>
          <w:rtl w:val="0"/>
        </w:rPr>
      </w:r>
    </w:p>
    <w:p w:rsidR="00000000" w:rsidDel="00000000" w:rsidP="00000000" w:rsidRDefault="00000000" w:rsidRPr="00000000" w14:paraId="00000006">
      <w:pPr>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rtl w:val="0"/>
        </w:rPr>
        <w:t xml:space="preserve">Viimeisin päivitys: </w:t>
      </w:r>
      <w:r w:rsidDel="00000000" w:rsidR="00000000" w:rsidRPr="00000000">
        <w:rPr>
          <w:rFonts w:ascii="Work Sans" w:cs="Work Sans" w:eastAsia="Work Sans" w:hAnsi="Work Sans"/>
          <w:sz w:val="24"/>
          <w:szCs w:val="24"/>
          <w:highlight w:val="yellow"/>
          <w:rtl w:val="0"/>
        </w:rPr>
        <w:t xml:space="preserve">ADD DATE</w:t>
      </w:r>
      <w:r w:rsidDel="00000000" w:rsidR="00000000" w:rsidRPr="00000000">
        <w:rPr>
          <w:rtl w:val="0"/>
        </w:rPr>
      </w:r>
    </w:p>
    <w:p w:rsidR="00000000" w:rsidDel="00000000" w:rsidP="00000000" w:rsidRDefault="00000000" w:rsidRPr="00000000" w14:paraId="00000007">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360" w:hanging="36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 Soveltamisala</w:t>
      </w:r>
    </w:p>
    <w:p w:rsidR="00000000" w:rsidDel="00000000" w:rsidP="00000000" w:rsidRDefault="00000000" w:rsidRPr="00000000" w14:paraId="00000009">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A">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Näitä yleisiä käyttöehtoja </w:t>
      </w:r>
      <w:r w:rsidDel="00000000" w:rsidR="00000000" w:rsidRPr="00000000">
        <w:rPr>
          <w:rFonts w:ascii="Work Sans" w:cs="Work Sans" w:eastAsia="Work Sans" w:hAnsi="Work Sans"/>
          <w:sz w:val="24"/>
          <w:szCs w:val="24"/>
          <w:highlight w:val="white"/>
          <w:rtl w:val="0"/>
        </w:rPr>
        <w:t xml:space="preserve">("käyttöehdot") </w:t>
      </w:r>
      <w:r w:rsidDel="00000000" w:rsidR="00000000" w:rsidRPr="00000000">
        <w:rPr>
          <w:rFonts w:ascii="Work Sans" w:cs="Work Sans" w:eastAsia="Work Sans" w:hAnsi="Work Sans"/>
          <w:sz w:val="24"/>
          <w:szCs w:val="24"/>
          <w:rtl w:val="0"/>
        </w:rPr>
        <w:t xml:space="preserve">sovelletaan kaikkiin palveluihin ("palvelut"), joita </w:t>
      </w:r>
      <w:r w:rsidDel="00000000" w:rsidR="00000000" w:rsidRPr="00000000">
        <w:rPr>
          <w:rFonts w:ascii="Work Sans" w:cs="Work Sans" w:eastAsia="Work Sans" w:hAnsi="Work Sans"/>
          <w:sz w:val="24"/>
          <w:szCs w:val="24"/>
          <w:highlight w:val="white"/>
          <w:rtl w:val="0"/>
        </w:rPr>
        <w:t xml:space="preserve">tarjoamme </w:t>
      </w:r>
      <w:r w:rsidDel="00000000" w:rsidR="00000000" w:rsidRPr="00000000">
        <w:rPr>
          <w:rFonts w:ascii="Work Sans" w:cs="Work Sans" w:eastAsia="Work Sans" w:hAnsi="Work Sans"/>
          <w:sz w:val="24"/>
          <w:szCs w:val="24"/>
          <w:rtl w:val="0"/>
        </w:rPr>
        <w:t xml:space="preserve">asiakkaillemme tilaushetkellä voimassa olevassa muodossa. </w:t>
      </w:r>
    </w:p>
    <w:p w:rsidR="00000000" w:rsidDel="00000000" w:rsidP="00000000" w:rsidRDefault="00000000" w:rsidRPr="00000000" w14:paraId="0000000B">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C">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Nämä käyttöehdot muodostavat oikeudellisesti sitovan sopimuksen, joka on tehty sinun, joko henkilökohtaisesti tai jonkin yhteisön ("sinä") puolesta,</w:t>
      </w:r>
    </w:p>
    <w:p w:rsidR="00000000" w:rsidDel="00000000" w:rsidP="00000000" w:rsidRDefault="00000000" w:rsidRPr="00000000" w14:paraId="0000000D">
      <w:pPr>
        <w:jc w:val="both"/>
        <w:rPr>
          <w:rFonts w:ascii="Work Sans" w:cs="Work Sans" w:eastAsia="Work Sans" w:hAnsi="Work Sans"/>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Yrityksen nimi tai nimi*:</w:t>
            </w:r>
            <w:r w:rsidDel="00000000" w:rsidR="00000000" w:rsidRPr="00000000">
              <w:rPr>
                <w:rFonts w:ascii="Work Sans" w:cs="Work Sans" w:eastAsia="Work Sans" w:hAnsi="Work Sans"/>
                <w:sz w:val="24"/>
                <w:szCs w:val="24"/>
                <w:rtl w:val="0"/>
              </w:rPr>
              <w:t xml:space="preserve"> Nimi: Online Store Oy / Nimi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Omistaja / edustaja*:</w:t>
            </w:r>
            <w:r w:rsidDel="00000000" w:rsidR="00000000" w:rsidRPr="00000000">
              <w:rPr>
                <w:rFonts w:ascii="Work Sans" w:cs="Work Sans" w:eastAsia="Work Sans" w:hAnsi="Work Sans"/>
                <w:sz w:val="24"/>
                <w:szCs w:val="24"/>
                <w:rtl w:val="0"/>
              </w:rPr>
              <w:t xml:space="preserve"> Etunimi Sukunimi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Katu, nro *: </w:t>
            </w:r>
            <w:r w:rsidDel="00000000" w:rsidR="00000000" w:rsidRPr="00000000">
              <w:rPr>
                <w:rFonts w:ascii="Work Sans" w:cs="Work Sans" w:eastAsia="Work Sans" w:hAnsi="Work Sans"/>
                <w:sz w:val="24"/>
                <w:szCs w:val="24"/>
                <w:rtl w:val="0"/>
              </w:rPr>
              <w:t xml:space="preserve">Katu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Paikka*:</w:t>
            </w:r>
            <w:r w:rsidDel="00000000" w:rsidR="00000000" w:rsidRPr="00000000">
              <w:rPr>
                <w:rFonts w:ascii="Work Sans" w:cs="Work Sans" w:eastAsia="Work Sans" w:hAnsi="Work Sans"/>
                <w:sz w:val="24"/>
                <w:szCs w:val="24"/>
                <w:rtl w:val="0"/>
              </w:rPr>
              <w:t xml:space="preserve"> Postinumero, Kaupunki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Maa: </w:t>
            </w:r>
            <w:r w:rsidDel="00000000" w:rsidR="00000000" w:rsidRPr="00000000">
              <w:rPr>
                <w:rFonts w:ascii="Work Sans" w:cs="Work Sans" w:eastAsia="Work Sans" w:hAnsi="Work Sans"/>
                <w:sz w:val="24"/>
                <w:szCs w:val="24"/>
                <w:rtl w:val="0"/>
              </w:rPr>
              <w:t xml:space="preserve">Suomi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Rekisterinumero: </w:t>
            </w:r>
            <w:r w:rsidDel="00000000" w:rsidR="00000000" w:rsidRPr="00000000">
              <w:rPr>
                <w:rFonts w:ascii="Work Sans" w:cs="Work Sans" w:eastAsia="Work Sans" w:hAnsi="Work Sans"/>
                <w:sz w:val="24"/>
                <w:szCs w:val="24"/>
                <w:rtl w:val="0"/>
              </w:rPr>
              <w:t xml:space="preserve">123456</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Puhelin:</w:t>
            </w:r>
            <w:r w:rsidDel="00000000" w:rsidR="00000000" w:rsidRPr="00000000">
              <w:rPr>
                <w:rFonts w:ascii="Work Sans" w:cs="Work Sans" w:eastAsia="Work Sans" w:hAnsi="Work Sans"/>
                <w:sz w:val="24"/>
                <w:szCs w:val="24"/>
                <w:rtl w:val="0"/>
              </w:rPr>
              <w:t xml:space="preserve"> +1112222</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Sähköposti*: </w:t>
            </w:r>
            <w:r w:rsidDel="00000000" w:rsidR="00000000" w:rsidRPr="00000000">
              <w:rPr>
                <w:rFonts w:ascii="Work Sans" w:cs="Work Sans" w:eastAsia="Work Sans" w:hAnsi="Work Sans"/>
                <w:sz w:val="24"/>
                <w:szCs w:val="24"/>
                <w:rtl w:val="0"/>
              </w:rPr>
              <w:t xml:space="preserve">online@store.com</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Verkkoläsnäolo*: </w:t>
            </w:r>
            <w:r w:rsidDel="00000000" w:rsidR="00000000" w:rsidRPr="00000000">
              <w:rPr>
                <w:rFonts w:ascii="Work Sans" w:cs="Work Sans" w:eastAsia="Work Sans" w:hAnsi="Work Sans"/>
                <w:sz w:val="24"/>
                <w:szCs w:val="24"/>
                <w:rtl w:val="0"/>
              </w:rPr>
              <w:t xml:space="preserve">www.peter-onlinestore.com</w:t>
            </w:r>
          </w:p>
        </w:tc>
      </w:tr>
    </w:tbl>
    <w:p w:rsidR="00000000" w:rsidDel="00000000" w:rsidP="00000000" w:rsidRDefault="00000000" w:rsidRPr="00000000" w14:paraId="00000017">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ja meille ("</w:t>
      </w:r>
      <w:r w:rsidDel="00000000" w:rsidR="00000000" w:rsidRPr="00000000">
        <w:rPr>
          <w:rFonts w:ascii="Work Sans" w:cs="Work Sans" w:eastAsia="Work Sans" w:hAnsi="Work Sans"/>
          <w:sz w:val="24"/>
          <w:szCs w:val="24"/>
          <w:highlight w:val="white"/>
          <w:rtl w:val="0"/>
        </w:rPr>
        <w:t xml:space="preserve">Yhtiö", "me", "meitä" tai "meidän") </w:t>
      </w:r>
      <w:r w:rsidDel="00000000" w:rsidR="00000000" w:rsidRPr="00000000">
        <w:rPr>
          <w:rFonts w:ascii="Work Sans" w:cs="Work Sans" w:eastAsia="Work Sans" w:hAnsi="Work Sans"/>
          <w:sz w:val="24"/>
          <w:szCs w:val="24"/>
          <w:rtl w:val="0"/>
        </w:rPr>
        <w:t xml:space="preserve">koskien Palveluiden käyttöä. Käyttämällä Palveluita hyväksyt, että olet lukenut, ymmärtänyt ja suostunut noudattamaan näitä käyttöehtoja. </w:t>
      </w:r>
    </w:p>
    <w:p w:rsidR="00000000" w:rsidDel="00000000" w:rsidP="00000000" w:rsidRDefault="00000000" w:rsidRPr="00000000" w14:paraId="00000019">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A">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Toimimme verkkosivuston </w:t>
      </w:r>
      <w:hyperlink r:id="rId7">
        <w:r w:rsidDel="00000000" w:rsidR="00000000" w:rsidRPr="00000000">
          <w:rPr>
            <w:rFonts w:ascii="Work Sans" w:cs="Work Sans" w:eastAsia="Work Sans" w:hAnsi="Work Sans"/>
            <w:color w:val="1155cc"/>
            <w:sz w:val="24"/>
            <w:szCs w:val="24"/>
            <w:u w:val="single"/>
            <w:rtl w:val="0"/>
          </w:rPr>
          <w:t xml:space="preserve">https://www.holvi.com/fi-en/online-store/</w:t>
        </w:r>
      </w:hyperlink>
      <w:r w:rsidDel="00000000" w:rsidR="00000000" w:rsidRPr="00000000">
        <w:rPr>
          <w:rFonts w:ascii="Work Sans" w:cs="Work Sans" w:eastAsia="Work Sans" w:hAnsi="Work Sans"/>
          <w:sz w:val="24"/>
          <w:szCs w:val="24"/>
          <w:highlight w:val="white"/>
          <w:rtl w:val="0"/>
        </w:rPr>
        <w:t xml:space="preserve"> kautta ja tarjoamme siellä kuvattuja sekä muita näiden käyttöehtojen mukaisia palveluita.</w:t>
      </w:r>
      <w:r w:rsidDel="00000000" w:rsidR="00000000" w:rsidRPr="00000000">
        <w:rPr>
          <w:rtl w:val="0"/>
        </w:rPr>
      </w:r>
    </w:p>
    <w:p w:rsidR="00000000" w:rsidDel="00000000" w:rsidP="00000000" w:rsidRDefault="00000000" w:rsidRPr="00000000" w14:paraId="0000001B">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C">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Voimme julkaista ajoittain täydentäviä ehtoja tai asiakirjoja. Pidätämme oikeuden muutoksiin ehdoissa. Löydät tiedon ehtojen viimeisimmästä päivityksestä "Viimeisin päivitys" -kohdasta.. Sinun vastuullasi on tarkistaa nämä käyttöehdot säännöllisesti pysyäksesi ajan tasalla päivityksistä. Käyttöehtoja sovelletaan kulloinkin voimassa olevassa muodossa, ja sinun katsotaan saaneen tiedon muutoksista ja hyväksyneen ne, jos jatkat Palveluiden käyttöä sen jälkeen, kun päivitetyt käyttöehdot on julkaistu.</w:t>
      </w:r>
    </w:p>
    <w:p w:rsidR="00000000" w:rsidDel="00000000" w:rsidP="00000000" w:rsidRDefault="00000000" w:rsidRPr="00000000" w14:paraId="0000001D">
      <w:pPr>
        <w:spacing w:after="0"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Palvelujen käyttö </w:t>
        <w:br w:type="textWrapp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Palveluiden käytön yhteydessä annettuja tietoja ei ole tarkoitettu levitettäväksi tai käytettäväksi minkään henkilön tai yhteisön toimesta missään lainkäyttöalueella tai maassa, jossa tällainen levittäminen tai käyttö olisi lain tai määräysten vastaista tai jossa meihin sovellettaisiin rekisteröintivaatimuksia kyseisellä lainkäyttöalueella. Näin ollen henkilöt, jotka päättävät käyttää Palveluita muista paikoista, tekevät sen omalla vastuullaan ja ovat yksin vastuussa paikallisten lakien noudattamisesta, jos ja siinä määrin kuin paikalliset lait ovat sovellettavissa.</w:t>
        <w:br w:type="textWrapping"/>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Ostot ja maksaminen </w:t>
        <w:br w:type="textWrapping"/>
      </w:r>
      <w:r w:rsidDel="00000000" w:rsidR="00000000" w:rsidRPr="00000000">
        <w:rPr>
          <w:rtl w:val="0"/>
        </w:rPr>
      </w:r>
    </w:p>
    <w:p w:rsidR="00000000" w:rsidDel="00000000" w:rsidP="00000000" w:rsidRDefault="00000000" w:rsidRPr="00000000" w14:paraId="00000021">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Verkkokaupassa näkyvien palveluiden hinnat ovat euromääräisiä ja sisältävät kaikki sovellettavat verot, ellei toisin mainita. </w:t>
      </w:r>
    </w:p>
    <w:p w:rsidR="00000000" w:rsidDel="00000000" w:rsidP="00000000" w:rsidRDefault="00000000" w:rsidRPr="00000000" w14:paraId="00000022">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Pidätämme oikeuden muuttaa hintoja milloin tahansa. Tilaukseen sovelletaan aina ostohetkellä ilmoitettua hintaa. </w:t>
        <w:br w:type="textWrapping"/>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Maksut käsittelee Paytrail Oyi ("Paytrail"). Paytrail tarjoaa useita maksutapoja, joista sinun on valittava yksi maksaaksesi. </w:t>
        <w:br w:type="textWrapping"/>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Sitoudut antamaan ajantasaiset, täydelliset ja tarkat maksu- ja tilitiedot kaikkiin Palveluiden kautta tehtyihin ostoihin. Lisäksi sitoudut tarjoamaan tili- ja maksutiedot, kuten sähköpostiosoite, maksutapa ja maksukortin viimeinen voimassaolopäivä, jotta Paytrail voi suorittaa maksutapahtumat ja ottaa sinuun tarvittaessa yhteyttä.   </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Kolmansien osapuolten verkkosivustot ja sisältö </w:t>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Palvelut saattavat sisältää (tai sinulle saatetaan lähettää sivuston kautta) linkkejä muille verkkosivustoille ("Kolmansien osapuolten verkkosivustot") sekä artikkeleita, valokuvia, tekstiä, grafiikkaa, kuvia, malleja, musiikkia, ääntä, videoita, tietoja, sovelluksia, ohjelmistoja ja muuta sisältöä tai esineitä, jotka kuuluvat kolmansille osapuolille tai ovat peräisin kolmansilta osapuolilta ("Kolmansien osapuolten sisältö"). Me emme tutki, valvo tai tarkista tällaisten kolmansien osapuolten verkkosivustoja ja kolmansien osapuolten sisältöä niiden oikeellisuuden, asianmukaisuuden tai täydellisyyden osalta, emmekä ole vastuussa mistään kolmansien osapuolten verkkosivustoista, joihin pääsee Palveluiden kautta, tai mistään kolmansien osapuolten sisällöstä, joka on lähetetty Palveluihin, saatavilla Palveluiden kautta tai asennettu Palveluiden kautta, mukaan lukien kolmansien osapuolten verkkosivustojen tai kolmansien osapuolten sisällön sisällöstä, oikeellisuudesta, loukkaavuudesta, mielipiteistä, luotettavuudesta, yksityisyydensuojakäytännöistä tai muista käytännöistä tai niiden sisältämistä tai niihin sisältyvistä periaatteista. Kolmannen osapuolen verkkosivustojen tai kolmannen osapuolen sisällön sisällyttäminen, linkittäminen niihin tai niiden käytön tai asennuksen salliminen ei tarkoita, että me hyväksyisimme tai suosittelisimme niitä. Jos päätät poistua Palveluista ja käyttää kolmannen osapuolen verkkosivustoja tai käyttää tai asentaa kolmannen osapuolen sisältöä, teet sen omalla vastuullasi, ja sinun tulee olla tietoinen siitä, että näitä käyttöehtoja ei enää sovelleta. Sinun on syytä tutustua minkä tahansa sellaisen verkkosivuston sovellettaviin ehtoihin ja käytäntöihin, mukaan lukien tietosuoja- ja tiedonkäsittelykäytännöt, johon siirryt Palveluista tai jotka liittyvät Palveluista käyttämiisi tai asentamiisi sovelluksiin. Kolmansien osapuolten verkkosivustojen kautta tekemäsi ostokset tehdään muiden verkkosivustojen kautta ja muilta yrityksiltä, emmekä ota minkäänlaista vastuuta tällaisista ostoksista, jotka ovat yksinomaan sinun ja kyseisen kolmannen osapuolen välinen asia. Hyväksyt ja tunnustat, että emme suosittele kolmansien osapuolten verkkosivustoilla tarjottuja tuotteita tai palveluita, ja sinun on pidettävä meidät syyttömänä kaikista vahingoista, jotka aiheutuvat tällaisten tuotteiden tai palveluiden ostamisesta. Emme vastaa mistään sinulle aiheutuneista menetyksistä tai haitoista, jotka liittyvät tai johtuvat millään tavalla kolmannen osapuolen sisällöstä tai yhteydenpidosta kolmannen osapuolen verkkosivustoihin. </w:t>
        <w:br w:type="textWrapping"/>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Palvelujen hallinta </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Pidätämme oikeuden, mutta emme ota velvollisuutta: </w:t>
        <w:br w:type="textWrapping"/>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Valvoa palveluita näiden yleisten sopimusehtojen rikkomisen varalta; </w:t>
        <w:br w:type="textWrapping"/>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ryhtyä asianmukaisiin oikeustoimiin ketä tahansa vastaan, joka oman harkintamme mukaan rikkoo lakia tai näitä oikeudellisia ehtoja, mukaan lukien rajoituksetta tällaisen käyttäjän ilmoittaminen lainvalvontaviranomaisille; </w:t>
        <w:br w:type="textWrapping"/>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Kieltäytyä, rajoittaa pääsyä, rajoittaa saatavuutta tai poistaa käytöstä (siinä määrin kuin se on teknisesti mahdollista) minkä tahansa osallistumisesi tai minkä tahansa sen osan, oman harkintamme mukaan ja rajoituksetta; </w:t>
        <w:br w:type="textWrapping"/>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oman harkintamme mukaan ja ilman rajoituksia, ilmoitusta tai vastuuta poistaa Palveluista tai muuten poistaa käytöstä kaikki tiedostot ja sisältö, jotka ovat liian suuria tai jotka ovat millään tavalla rasitteena järjestelmillemme; ja </w:t>
        <w:br w:type="textWrapping"/>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muutoin hallinnoida Palveluja tavalla, jonka tarkoituksena on suojella oikeuksiamme ja omaisuuttamme ja helpottaa Palvelujen asianmukaista toimintaa. </w:t>
        <w:br w:type="textWrapping"/>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Tietosuojakäytäntö </w:t>
        <w:br w:type="textWrapp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Välitämme tietosuojasta ja tietoturvasta. Tutustu tietosuojakäytäntöihimme (</w:t>
      </w:r>
      <w:r w:rsidDel="00000000" w:rsidR="00000000" w:rsidRPr="00000000">
        <w:rPr>
          <w:rFonts w:ascii="Work Sans" w:cs="Work Sans" w:eastAsia="Work Sans" w:hAnsi="Work Sans"/>
          <w:sz w:val="24"/>
          <w:szCs w:val="24"/>
          <w:highlight w:val="yellow"/>
          <w:rtl w:val="0"/>
        </w:rPr>
        <w:t xml:space="preserve">LISÄÄ LINKKI TIETOSUOJAKÄYTÄNTÖÖN</w:t>
      </w:r>
      <w:r w:rsidDel="00000000" w:rsidR="00000000" w:rsidRPr="00000000">
        <w:rPr>
          <w:rFonts w:ascii="Work Sans" w:cs="Work Sans" w:eastAsia="Work Sans" w:hAnsi="Work Sans"/>
          <w:sz w:val="24"/>
          <w:szCs w:val="24"/>
          <w:rtl w:val="0"/>
        </w:rPr>
        <w:t xml:space="preserve">). Käyttämällä Palveluita sitoudut noudattamaan tietosuojakäytäntöämme, joka on sisällytetty näihin käyttöehtoihin.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Ehdot ja irtisanominen </w:t>
        <w:br w:type="textWrapping"/>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Nämä käyttöehdot ovat voimassa siitä päivästä alkaen, jolloin olet rekisteröitynyt Palveluiden käyttöä varten, ja ne ovat voimassa, kunnes me tai sinä irtisanomme ne jäljempänä esitetyllä tavalla.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Voit irtisanoa nämä ehdot milloin tahansa ilmoittamalla siitä meille kirjallisesti. </w:t>
        <w:br w:type="textWrapping"/>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Rajoittamatta muita oikeussuojakeinoja, voimme keskeyttää tai lopettaa Palvelut tai nämä yleiset käyttöehdot mistä tahansa syystä, ilman ennakkoilmoitusta ja milloin tahansa (ellei laki toisin edellytä), mukaan lukien jos epäilemme, että olet (tuomion, sovinnon, vakuutus- tai escrow-tutkimuksen tai muun sellaisen perusteella) syyllistynyt vilpilliseen toimintaan Palvelujen käytön yhteydessä. Yleisten sopimusehtojen irtisanominen ei vaikuta ennen irtisanomispäivää syntyneisiin oikeuksiin tai velvollisuuksiin. </w:t>
        <w:br w:type="textWrapping"/>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Muutokset ja keskeytykset </w:t>
        <w:br w:type="textWrapping"/>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Pidätämme oikeuden muuttaa, muokata tai poistaa Palveluiden sisältöä milloin tahansa ja mistä tahansa syystä oman harkintamme mukaan ilman ennakkoilmoitusta. Meillä ei kuitenkaan ole velvollisuutta päivittää mitään tietoja Palveluissamme. Pidätämme myös oikeuden muuttaa tai lakkauttaa Palvelut tai osan niistä ilman ennakkoilmoitusta milloin tahansa. Emme ole vastuussa sinulle tai millekään kolmannelle osapuolelle mistään Palveluiden muuttamisesta, hinnanmuutoksesta, keskeyttämisestä tai lopettamisesta. </w:t>
        <w:br w:type="textWrapping"/>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Emme voi taata, että Palvelut ovat aina saatavilla. Meillä saattaa esiintyä laitteisto-, ohjelmisto- tai muita ongelmia tai tarvitsemme näihin Palveluihin liittyviä huoltotoimenpiteitä, jotka aiheuttavat keskeytyksiä, viivästyksiä tai virheitä. Pidätämme oikeuden muuttaa, tarkistaa, päivittää, keskeyttää, lakkauttaa tai muuten muokata Palveluita milloin tahansa ja mistä tahansa syystä ilmoittamatta siitä sinulle. Hyväksyt, että emme ole millään tavoin vastuussa mistään menetyksistä, vahingoista tai haitoista, jotka johtuvat siitä, että et voi käyttää Palveluita Palveluiden käyttökatkon tai keskeytyksen aikana. Mikään näissä yleisissä käyttöehdoissa ei velvoita meitä ylläpitämään ja tukemaan Palveluita tai toimittamaan niihin liittyviä korjauksia, päivityksiä tai julkaisuja. </w:t>
        <w:br w:type="textWrapping"/>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Sovellettava laki ja oikeuspaikka </w:t>
        <w:br w:type="textWrapping"/>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Näihin yleisiin sopimusehtoihin sovelletaan ja niitä tulkitaan Suomen lakia noudattaen, ja Yhdistyneiden Kansakuntien kansainvälistä tavaran kauppaa koskevien sopimusten yleissopimus on nimenomaisesti suljettu pois. Jos asuinpaikkasi on EU:n alueella ja olet kuluttaja, sinulla on lisäksi asuinmaasi lainsäädännön pakottavien säännösten tarjoama suoja. Molemmat osapuolet sopivat kuuluvansa Helsingin tuomioistuinten ei-yksinomaisen toimivallan piiriin, mikä tarkoittaa sitä, että voit nostaa kanteen kuluttajansuojaa koskevien oikeuksiesi puolustamiseksi näihin yleisiin sopimusehtoihin liittyen Suomessa tai asuinpaikkasi EU-maassa. </w:t>
        <w:br w:type="textWrapping"/>
      </w:r>
    </w:p>
    <w:p w:rsidR="00000000" w:rsidDel="00000000" w:rsidP="00000000" w:rsidRDefault="00000000" w:rsidRPr="00000000" w14:paraId="0000003B">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Näistä ehdoista johtuvat tai niihin liittyvät riidat kuuluvat Helsingin tuomioistuinten yksinomaiseen toimivaltaan. </w:t>
        <w:br w:type="textWrapping"/>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Riitojen ratkaiseminen </w:t>
        <w:br w:type="textWrapping"/>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Euroopan komissio tarjoaa </w:t>
      </w:r>
      <w:hyperlink r:id="rId8">
        <w:r w:rsidDel="00000000" w:rsidR="00000000" w:rsidRPr="00000000">
          <w:rPr>
            <w:rFonts w:ascii="Work Sans" w:cs="Work Sans" w:eastAsia="Work Sans" w:hAnsi="Work Sans"/>
            <w:color w:val="1155cc"/>
            <w:sz w:val="24"/>
            <w:szCs w:val="24"/>
            <w:u w:val="single"/>
            <w:rtl w:val="0"/>
          </w:rPr>
          <w:t xml:space="preserve">verkkovälitteisen riidanratkaisufoorumin</w:t>
        </w:r>
      </w:hyperlink>
      <w:r w:rsidDel="00000000" w:rsidR="00000000" w:rsidRPr="00000000">
        <w:rPr>
          <w:rFonts w:ascii="Work Sans" w:cs="Work Sans" w:eastAsia="Work Sans" w:hAnsi="Work Sans"/>
          <w:sz w:val="24"/>
          <w:szCs w:val="24"/>
          <w:rtl w:val="0"/>
        </w:rPr>
        <w:t xml:space="preserve">, jota voit käyttää. Jos haluat saattaa asian meidän tietoisuuteemme, ota yhteyttä suoraan meihin. </w:t>
        <w:br w:type="textWrapping"/>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Korjaukset </w:t>
        <w:br w:type="textWrapping"/>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Palveluissa saattaa olla tietoja, jotka sisältävät kirjoitusvirheitä, epätarkkuuksia tai puutteita, mukaan lukien kuvaukset, hinnoittelu, saatavuus ja erilaiset muut tiedot. Pidätämme oikeuden korjata virheitä, epätarkkuuksia tai puutteita ja muuttaa tai päivittää Palveluissa olevia tietoja milloin tahansa ilman ennakkoilmoitusta. </w:t>
        <w:br w:type="textWrapping"/>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Vastuunrajoitukset </w:t>
        <w:br w:type="textWrapping"/>
      </w:r>
      <w:r w:rsidDel="00000000" w:rsidR="00000000" w:rsidRPr="00000000">
        <w:rPr>
          <w:rtl w:val="0"/>
        </w:rPr>
      </w:r>
    </w:p>
    <w:p w:rsidR="00000000" w:rsidDel="00000000" w:rsidP="00000000" w:rsidRDefault="00000000" w:rsidRPr="00000000" w14:paraId="00000041">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Vahingonkorvausvelvollisuutemme rajoittuu oikeudellisista perusteista riippumatta (erityisesti viivästys- tai puutostapauksissa) sopimuksen kannalta tyypilliseen ennakoitavissa olevaan vahinkoon. Tämä vastuunrajoitus ei koske vastuutamme tahallisesta toiminnasta tai törkeästä huolimattomuudesta, taatusta ominaisuudesta, henkeen, ruumiilliseen koskemattomuuteen tai terveyteen kohdistuvasta vahingosta tai tuotevastuulain nojalla. </w:t>
        <w:br w:type="textWrapping"/>
      </w:r>
    </w:p>
    <w:p w:rsidR="00000000" w:rsidDel="00000000" w:rsidP="00000000" w:rsidRDefault="00000000" w:rsidRPr="00000000" w14:paraId="00000042">
      <w:pPr>
        <w:numPr>
          <w:ilvl w:val="0"/>
          <w:numId w:val="1"/>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Käyttäjätiedot </w:t>
        <w:br w:type="textWrapping"/>
      </w:r>
      <w:r w:rsidDel="00000000" w:rsidR="00000000" w:rsidRPr="00000000">
        <w:rPr>
          <w:rtl w:val="0"/>
        </w:rPr>
      </w:r>
    </w:p>
    <w:p w:rsidR="00000000" w:rsidDel="00000000" w:rsidP="00000000" w:rsidRDefault="00000000" w:rsidRPr="00000000" w14:paraId="00000043">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Säilytämme tiettyjä tietoja, jotka lähetät Palveluihin Palveluiden suorituskyvyn hallintaa varten, sekä tietoja, jotka liittyvät Palveluiden käyttöösi. Vaikka teemme säännöllisesti rutiininomaisia varmuuskopioita tiedoista, olet yksin vastuussa kaikista lähettämistäsi tiedoista tai tiedoista, jotka liittyvät Palveluita käyttämääsi toimintaan. Suostut siihen, että emme ole vastuussa sinulle tällaisten tietojen menetyksestä tai turmeltumisesta, ja luovut täten kaikista meitä vastaan nostettavista kanteista, jotka johtuvat tällaisten tietojen menetyksestä tai turmeltumisesta. </w:t>
        <w:br w:type="textWrapping"/>
      </w:r>
    </w:p>
    <w:p w:rsidR="00000000" w:rsidDel="00000000" w:rsidP="00000000" w:rsidRDefault="00000000" w:rsidRPr="00000000" w14:paraId="00000044">
      <w:pPr>
        <w:numPr>
          <w:ilvl w:val="0"/>
          <w:numId w:val="1"/>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Sekalaiset </w:t>
        <w:br w:type="textWrapping"/>
      </w:r>
      <w:r w:rsidDel="00000000" w:rsidR="00000000" w:rsidRPr="00000000">
        <w:rPr>
          <w:rtl w:val="0"/>
        </w:rPr>
      </w:r>
    </w:p>
    <w:p w:rsidR="00000000" w:rsidDel="00000000" w:rsidP="00000000" w:rsidRDefault="00000000" w:rsidRPr="00000000" w14:paraId="00000045">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Nämä käyttöehdot ja kaikki meidän Palveluissa julkaisemamme tai Palveluihin liittyvät käytännöt tai toimintasäännöt muodostavat koko sopimuksen ja yhteisymmärryksen sinun ja meidän välillä. </w:t>
        <w:br w:type="textWrapping"/>
      </w:r>
      <w:r w:rsidDel="00000000" w:rsidR="00000000" w:rsidRPr="00000000">
        <w:rPr>
          <w:rtl w:val="0"/>
        </w:rPr>
      </w:r>
    </w:p>
    <w:p w:rsidR="00000000" w:rsidDel="00000000" w:rsidP="00000000" w:rsidRDefault="00000000" w:rsidRPr="00000000" w14:paraId="00000046">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Se, että emme käytä tai pane täytäntöön mitään näiden yleisten käyttöehtojen oikeutta tai määräystä, ei merkitse tällaisesta oikeudesta tai määräyksestä luopumista. </w:t>
        <w:br w:type="textWrapping"/>
      </w:r>
      <w:r w:rsidDel="00000000" w:rsidR="00000000" w:rsidRPr="00000000">
        <w:rPr>
          <w:rtl w:val="0"/>
        </w:rPr>
      </w:r>
    </w:p>
    <w:p w:rsidR="00000000" w:rsidDel="00000000" w:rsidP="00000000" w:rsidRDefault="00000000" w:rsidRPr="00000000" w14:paraId="00000047">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Nämä ehdot ovat voimassa lain sallimissa rajoissa. </w:t>
        <w:br w:type="textWrapping"/>
      </w:r>
      <w:r w:rsidDel="00000000" w:rsidR="00000000" w:rsidRPr="00000000">
        <w:rPr>
          <w:rtl w:val="0"/>
        </w:rPr>
      </w:r>
    </w:p>
    <w:p w:rsidR="00000000" w:rsidDel="00000000" w:rsidP="00000000" w:rsidRDefault="00000000" w:rsidRPr="00000000" w14:paraId="00000048">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Voimme milloin tahansa siirtää osan tai kaikki oikeuksistamme ja velvollisuuksistamme muille. </w:t>
        <w:br w:type="textWrapping"/>
      </w:r>
      <w:r w:rsidDel="00000000" w:rsidR="00000000" w:rsidRPr="00000000">
        <w:rPr>
          <w:rtl w:val="0"/>
        </w:rPr>
      </w:r>
    </w:p>
    <w:p w:rsidR="00000000" w:rsidDel="00000000" w:rsidP="00000000" w:rsidRDefault="00000000" w:rsidRPr="00000000" w14:paraId="00000049">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Emme ole vastuussa mistään menetyksestä, vahingosta, viiveestä tai toimimatta jättämisestä, joka johtuu meistä riippumattomista syistä. </w:t>
        <w:br w:type="textWrapping"/>
      </w:r>
      <w:r w:rsidDel="00000000" w:rsidR="00000000" w:rsidRPr="00000000">
        <w:rPr>
          <w:rtl w:val="0"/>
        </w:rPr>
      </w:r>
    </w:p>
    <w:p w:rsidR="00000000" w:rsidDel="00000000" w:rsidP="00000000" w:rsidRDefault="00000000" w:rsidRPr="00000000" w14:paraId="0000004A">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Jos jokin näiden yleisten sopimusehtojen määräys tai sen osa todetaan laittomaksi, mitättömäksi tai täytäntöönpanokelvottomaksi, kyseinen määräys tai sen osa katsotaan irrotettavaksi näistä ehdoista, eikä se vaikuta jäljelle jäävien määräysten pätevyyteen ja täytäntöönpanokelpoisuuteen. </w:t>
        <w:br w:type="textWrapping"/>
      </w:r>
      <w:r w:rsidDel="00000000" w:rsidR="00000000" w:rsidRPr="00000000">
        <w:rPr>
          <w:rtl w:val="0"/>
        </w:rPr>
      </w:r>
    </w:p>
    <w:p w:rsidR="00000000" w:rsidDel="00000000" w:rsidP="00000000" w:rsidRDefault="00000000" w:rsidRPr="00000000" w14:paraId="0000004B">
      <w:pPr>
        <w:numPr>
          <w:ilvl w:val="0"/>
          <w:numId w:val="1"/>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Ota yhteyttä </w:t>
        <w:br w:type="textWrapping"/>
      </w:r>
      <w:r w:rsidDel="00000000" w:rsidR="00000000" w:rsidRPr="00000000">
        <w:rPr>
          <w:rtl w:val="0"/>
        </w:rPr>
      </w:r>
    </w:p>
    <w:p w:rsidR="00000000" w:rsidDel="00000000" w:rsidP="00000000" w:rsidRDefault="00000000" w:rsidRPr="00000000" w14:paraId="0000004C">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Jos haluat ratkaista Palveluihin liittyvän valituksen tai saada lisätietoja Palveluiden käytöstä, ota meihin yhteyttä osoitteeseen: </w:t>
      </w:r>
    </w:p>
    <w:p w:rsidR="00000000" w:rsidDel="00000000" w:rsidP="00000000" w:rsidRDefault="00000000" w:rsidRPr="00000000" w14:paraId="0000004D">
      <w:pPr>
        <w:ind w:left="108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4E">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4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Yrityksen nimi tai nimi*:</w:t>
            </w:r>
            <w:r w:rsidDel="00000000" w:rsidR="00000000" w:rsidRPr="00000000">
              <w:rPr>
                <w:rFonts w:ascii="Work Sans" w:cs="Work Sans" w:eastAsia="Work Sans" w:hAnsi="Work Sans"/>
                <w:sz w:val="24"/>
                <w:szCs w:val="24"/>
                <w:rtl w:val="0"/>
              </w:rPr>
              <w:t xml:space="preserve"> Online Store Oy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Omistaja / edustaja*:</w:t>
            </w:r>
            <w:r w:rsidDel="00000000" w:rsidR="00000000" w:rsidRPr="00000000">
              <w:rPr>
                <w:rFonts w:ascii="Work Sans" w:cs="Work Sans" w:eastAsia="Work Sans" w:hAnsi="Work Sans"/>
                <w:sz w:val="24"/>
                <w:szCs w:val="24"/>
                <w:rtl w:val="0"/>
              </w:rPr>
              <w:t xml:space="preserve"> Etunimi Sukunimi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 </w:t>
            </w:r>
            <w:r w:rsidDel="00000000" w:rsidR="00000000" w:rsidRPr="00000000">
              <w:rPr>
                <w:rFonts w:ascii="Work Sans" w:cs="Work Sans" w:eastAsia="Work Sans" w:hAnsi="Work Sans"/>
                <w:sz w:val="24"/>
                <w:szCs w:val="24"/>
                <w:rtl w:val="0"/>
              </w:rPr>
              <w:t xml:space="preserve">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Postinumero, kaupunki*:</w:t>
            </w:r>
            <w:r w:rsidDel="00000000" w:rsidR="00000000" w:rsidRPr="00000000">
              <w:rPr>
                <w:rFonts w:ascii="Work Sans" w:cs="Work Sans" w:eastAsia="Work Sans" w:hAnsi="Work Sans"/>
                <w:sz w:val="24"/>
                <w:szCs w:val="24"/>
                <w:rtl w:val="0"/>
              </w:rPr>
              <w:t xml:space="preserve"> Postinumero, kaupunki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Maa: </w:t>
            </w:r>
            <w:r w:rsidDel="00000000" w:rsidR="00000000" w:rsidRPr="00000000">
              <w:rPr>
                <w:rFonts w:ascii="Work Sans" w:cs="Work Sans" w:eastAsia="Work Sans" w:hAnsi="Work Sans"/>
                <w:sz w:val="24"/>
                <w:szCs w:val="24"/>
                <w:rtl w:val="0"/>
              </w:rPr>
              <w:t xml:space="preserve">Suomi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Puhelin: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Sähköposti*: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jc w:val="center"/>
      <w:rPr>
        <w:sz w:val="20"/>
        <w:szCs w:val="20"/>
      </w:rPr>
    </w:pPr>
    <w:r w:rsidDel="00000000" w:rsidR="00000000" w:rsidRPr="00000000">
      <w:rPr>
        <w:rtl w:val="0"/>
      </w:rPr>
    </w:r>
  </w:p>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Holvi Payment Services Oy:n toimittamat yleiset sopimusehdot ovat esimerkkitekstejä. Käyttö tapahtuu omalla vastuulla, eikä Holvi vastaa miltään osin käyttöehtojen sisällöstä tai niistä aiheutuvista vahingoista.</w:t>
    </w:r>
  </w:p>
  <w:p w:rsidR="00000000" w:rsidDel="00000000" w:rsidP="00000000" w:rsidRDefault="00000000" w:rsidRPr="00000000" w14:paraId="0000006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2" name="image1.png"/>
          <a:graphic>
            <a:graphicData uri="http://schemas.openxmlformats.org/drawingml/2006/picture">
              <pic:pic>
                <pic:nvPicPr>
                  <pic:cNvPr descr="logo-green.png" id="0" name="image1.png"/>
                  <pic:cNvPicPr preferRelativeResize="0"/>
                </pic:nvPicPr>
                <pic:blipFill>
                  <a:blip r:embed="rId1"/>
                  <a:srcRect b="2"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E">
    <w:pPr>
      <w:jc w:val="right"/>
      <w:rPr/>
    </w:pPr>
    <w:r w:rsidDel="00000000" w:rsidR="00000000" w:rsidRPr="00000000">
      <w:rPr>
        <w:rtl w:val="0"/>
      </w:rPr>
    </w:r>
  </w:p>
  <w:p w:rsidR="00000000" w:rsidDel="00000000" w:rsidP="00000000" w:rsidRDefault="00000000" w:rsidRPr="00000000" w14:paraId="0000005F">
    <w:pPr>
      <w:jc w:val="right"/>
      <w:rPr/>
    </w:pPr>
    <w:r w:rsidDel="00000000" w:rsidR="00000000" w:rsidRPr="00000000">
      <w:rPr>
        <w:rtl w:val="0"/>
      </w:rPr>
    </w:r>
  </w:p>
  <w:p w:rsidR="00000000" w:rsidDel="00000000" w:rsidP="00000000" w:rsidRDefault="00000000" w:rsidRPr="00000000" w14:paraId="00000060">
    <w:pPr>
      <w:jc w:val="right"/>
      <w:rPr/>
    </w:pPr>
    <w:r w:rsidDel="00000000" w:rsidR="00000000" w:rsidRPr="00000000">
      <w:rPr>
        <w:rtl w:val="0"/>
      </w:rPr>
    </w:r>
  </w:p>
  <w:p w:rsidR="00000000" w:rsidDel="00000000" w:rsidP="00000000" w:rsidRDefault="00000000" w:rsidRPr="00000000" w14:paraId="00000061">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360"/>
      </w:pPr>
      <w:rPr>
        <w:rFonts w:ascii="Arial" w:cs="Arial" w:eastAsia="Arial" w:hAnsi="Arial"/>
        <w:b w:val="1"/>
        <w:u w:val="none"/>
      </w:rPr>
    </w:lvl>
    <w:lvl w:ilvl="1">
      <w:start w:val="1"/>
      <w:numFmt w:val="decimal"/>
      <w:lvlText w:val="%1.%2."/>
      <w:lvlJc w:val="right"/>
      <w:pPr>
        <w:ind w:left="108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olvi.com/fi-en/online-store/" TargetMode="External"/><Relationship Id="rId8" Type="http://schemas.openxmlformats.org/officeDocument/2006/relationships/hyperlink" Target="https://ec.europa.eu/consumers/odr/main/?event=main.home2.sho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QPG8z3tDCOxalSW4rHX4AxGFw==">CgMxLjA4AHIhMVpDLWtTQy1KZmYzbjh5SkdDbFEwV3hMVVdrRXk3LUhn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